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Приложение</w:t>
      </w:r>
      <w:r/>
    </w:p>
    <w:p>
      <w:r/>
      <w:r/>
    </w:p>
    <w:p>
      <w:pPr>
        <w:jc w:val="center"/>
        <w:rPr>
          <w:b/>
        </w:rPr>
      </w:pPr>
      <w:r>
        <w:rPr>
          <w:b/>
        </w:rPr>
        <w:t xml:space="preserve">Единый к</w:t>
      </w:r>
      <w:r>
        <w:rPr>
          <w:b/>
        </w:rPr>
        <w:t xml:space="preserve">алендарный учебный график на 2025/2026 учебный год</w:t>
      </w:r>
      <w:r>
        <w:rPr>
          <w:b/>
        </w:rPr>
      </w:r>
    </w:p>
    <w:p>
      <w:r/>
      <w:r/>
    </w:p>
    <w:tbl>
      <w:tblPr>
        <w:tblStyle w:val="622"/>
        <w:tblW w:w="14850" w:type="dxa"/>
        <w:tblLayout w:type="fixed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  <w:gridCol w:w="2475"/>
        <w:gridCol w:w="2475"/>
      </w:tblGrid>
      <w:tr>
        <w:trPr/>
        <w:tc>
          <w:tcPr>
            <w:tcW w:w="2475" w:type="dxa"/>
            <w:textDirection w:val="lrTb"/>
            <w:noWrap w:val="false"/>
          </w:tcPr>
          <w:p>
            <w:r>
              <w:t xml:space="preserve">Четверть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Сроки четверти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Количество учебных недель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Каникулы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Сроки каникул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Продолжительность каникул (календарные дни) </w:t>
            </w:r>
            <w:r/>
          </w:p>
        </w:tc>
      </w:tr>
      <w:tr>
        <w:trPr/>
        <w:tc>
          <w:tcPr>
            <w:tcW w:w="2475" w:type="dxa"/>
            <w:textDirection w:val="lrTb"/>
            <w:noWrap w:val="false"/>
          </w:tcPr>
          <w:p>
            <w:r>
              <w:t xml:space="preserve">1 четверть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01.09.2025 – 2</w:t>
            </w:r>
            <w:r>
              <w:t xml:space="preserve">4</w:t>
            </w:r>
            <w:r>
              <w:t xml:space="preserve">.10.2025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Осенние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25.10.2025 – </w:t>
            </w:r>
            <w:r/>
          </w:p>
          <w:p>
            <w:r>
              <w:t xml:space="preserve">02.11.2025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9</w:t>
            </w:r>
            <w:r>
              <w:t xml:space="preserve"> дней</w:t>
            </w:r>
            <w:r/>
          </w:p>
        </w:tc>
      </w:tr>
      <w:tr>
        <w:trPr/>
        <w:tc>
          <w:tcPr>
            <w:tcW w:w="2475" w:type="dxa"/>
            <w:textDirection w:val="lrTb"/>
            <w:noWrap w:val="false"/>
          </w:tcPr>
          <w:p>
            <w:r>
              <w:t xml:space="preserve">2 четверть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05.11.2025 – </w:t>
            </w:r>
            <w:r>
              <w:t xml:space="preserve">30</w:t>
            </w:r>
            <w:r>
              <w:t xml:space="preserve">.12.2025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9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Зимние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31.12.2025 – 11.01.2026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12 дней</w:t>
            </w:r>
            <w:r/>
          </w:p>
        </w:tc>
      </w:tr>
      <w:tr>
        <w:trPr/>
        <w:tc>
          <w:tcPr>
            <w:tcW w:w="2475" w:type="dxa"/>
            <w:vMerge w:val="restart"/>
            <w:textDirection w:val="lrTb"/>
            <w:noWrap w:val="false"/>
          </w:tcPr>
          <w:p>
            <w:r>
              <w:t xml:space="preserve">3 четверть</w:t>
            </w:r>
            <w:r/>
          </w:p>
        </w:tc>
        <w:tc>
          <w:tcPr>
            <w:tcW w:w="2475" w:type="dxa"/>
            <w:vMerge w:val="restart"/>
            <w:textDirection w:val="lrTb"/>
            <w:noWrap w:val="false"/>
          </w:tcPr>
          <w:p>
            <w:r>
              <w:t xml:space="preserve">12.01.2026 – </w:t>
            </w:r>
            <w:r>
              <w:t xml:space="preserve">27</w:t>
            </w:r>
            <w:r>
              <w:t xml:space="preserve">.03.2026</w:t>
            </w:r>
            <w:r/>
          </w:p>
        </w:tc>
        <w:tc>
          <w:tcPr>
            <w:tcW w:w="2475" w:type="dxa"/>
            <w:vMerge w:val="restart"/>
            <w:textDirection w:val="lrTb"/>
            <w:noWrap w:val="false"/>
          </w:tcPr>
          <w:p>
            <w:r>
              <w:t xml:space="preserve">9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Февральские (оздоровительные)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1</w:t>
            </w:r>
            <w:r>
              <w:t xml:space="preserve">4</w:t>
            </w:r>
            <w:bookmarkStart w:id="0" w:name="_GoBack"/>
            <w:r/>
            <w:bookmarkEnd w:id="0"/>
            <w:r>
              <w:t xml:space="preserve">.02.2026 – 22.02.2026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9</w:t>
            </w:r>
            <w:r>
              <w:t xml:space="preserve"> дней</w:t>
            </w:r>
            <w:r/>
          </w:p>
        </w:tc>
      </w:tr>
      <w:tr>
        <w:trPr/>
        <w:tc>
          <w:tcPr>
            <w:tcW w:w="24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Весенние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2</w:t>
            </w:r>
            <w:r>
              <w:t xml:space="preserve">8</w:t>
            </w:r>
            <w:r>
              <w:t xml:space="preserve">.03.2026 – </w:t>
            </w:r>
            <w:r>
              <w:t xml:space="preserve">05.04</w:t>
            </w:r>
            <w:r>
              <w:t xml:space="preserve">.2026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9 дней</w:t>
            </w:r>
            <w:r/>
          </w:p>
        </w:tc>
      </w:tr>
      <w:tr>
        <w:trPr/>
        <w:tc>
          <w:tcPr>
            <w:tcW w:w="2475" w:type="dxa"/>
            <w:vMerge w:val="restart"/>
            <w:textDirection w:val="lrTb"/>
            <w:noWrap w:val="false"/>
          </w:tcPr>
          <w:p>
            <w:r>
              <w:t xml:space="preserve">4 четверть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06.04</w:t>
            </w:r>
            <w:r>
              <w:t xml:space="preserve">.2026 – 26.05.2026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W w:w="2475" w:type="dxa"/>
            <w:vMerge w:val="restart"/>
            <w:textDirection w:val="lrTb"/>
            <w:noWrap w:val="false"/>
          </w:tcPr>
          <w:p>
            <w:r>
              <w:t xml:space="preserve">Летние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27.05.2026 – 31.08.2026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14 недель</w:t>
            </w:r>
            <w:r/>
          </w:p>
        </w:tc>
      </w:tr>
      <w:tr>
        <w:trPr/>
        <w:tc>
          <w:tcPr>
            <w:tcW w:w="24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06.04.2026 – </w:t>
            </w:r>
            <w:r>
              <w:t xml:space="preserve">2</w:t>
            </w:r>
            <w:r>
              <w:t xml:space="preserve">0</w:t>
            </w:r>
            <w:r>
              <w:t xml:space="preserve">.05.2026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7 (1 классы)</w:t>
            </w:r>
            <w:r/>
          </w:p>
        </w:tc>
        <w:tc>
          <w:tcPr>
            <w:tcW w:w="24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21.05.2026 </w:t>
            </w:r>
            <w:r>
              <w:t xml:space="preserve">– </w:t>
            </w:r>
            <w:r>
              <w:t xml:space="preserve">31.08.2026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15 недель</w:t>
            </w:r>
            <w:r/>
          </w:p>
        </w:tc>
      </w:tr>
      <w:tr>
        <w:trPr/>
        <w:tc>
          <w:tcPr>
            <w:gridSpan w:val="2"/>
            <w:tcW w:w="4950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Итого за учебный год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>
              <w:t xml:space="preserve">34 недели,</w:t>
            </w:r>
            <w:r>
              <w:br/>
              <w:t xml:space="preserve">1 классы – 33 недели</w:t>
            </w:r>
            <w:r/>
          </w:p>
        </w:tc>
        <w:tc>
          <w:tcPr>
            <w:tcW w:w="2475" w:type="dxa"/>
            <w:textDirection w:val="lrTb"/>
            <w:noWrap w:val="false"/>
          </w:tcPr>
          <w:p>
            <w:r/>
            <w:r/>
          </w:p>
        </w:tc>
        <w:tc>
          <w:tcPr>
            <w:tcW w:w="2475" w:type="dxa"/>
            <w:textDirection w:val="lrTb"/>
            <w:noWrap w:val="false"/>
          </w:tcPr>
          <w:p>
            <w:r/>
            <w:r/>
          </w:p>
        </w:tc>
        <w:tc>
          <w:tcPr>
            <w:tcW w:w="2475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6838" w:h="11906" w:orient="landscape"/>
      <w:pgMar w:top="1418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</w:style>
  <w:style w:type="table" w:styleId="622">
    <w:name w:val="Table Grid"/>
    <w:basedOn w:val="61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>
    <w:name w:val="Balloon Text"/>
    <w:basedOn w:val="617"/>
    <w:link w:val="624"/>
    <w:uiPriority w:val="99"/>
    <w:semiHidden/>
    <w:unhideWhenUsed/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Кожемякина</dc:creator>
  <cp:lastModifiedBy>Чернова Ю. Ю., 17-02 Отдел общего образования, тел. 486-701 доб.1716, ком. 23</cp:lastModifiedBy>
  <cp:revision>4</cp:revision>
  <dcterms:created xsi:type="dcterms:W3CDTF">2025-08-07T15:25:00Z</dcterms:created>
  <dcterms:modified xsi:type="dcterms:W3CDTF">2025-08-08T07:54:16Z</dcterms:modified>
</cp:coreProperties>
</file>